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89" w:rsidRDefault="00FE090C" w:rsidP="00C8130A">
      <w:pPr>
        <w:ind w:left="-566" w:right="-851" w:hanging="285"/>
      </w:pPr>
      <w:r>
        <w:rPr>
          <w:noProof/>
        </w:rPr>
        <w:pict>
          <v:shapetype id="_x0000_t202" coordsize="21600,21600" o:spt="202" path="m,l,21600r21600,l21600,xe">
            <v:stroke joinstyle="miter"/>
            <v:path gradientshapeok="t" o:connecttype="rect"/>
          </v:shapetype>
          <v:shape id="_x0000_s1028" type="#_x0000_t202" style="position:absolute;left:0;text-align:left;margin-left:117.3pt;margin-top:62.4pt;width:198.9pt;height:41.5pt;z-index:251658240;mso-width-relative:margin;mso-height-relative:margin" filled="f" stroked="f">
            <v:textbox>
              <w:txbxContent>
                <w:p w:rsidR="00C8130A" w:rsidRPr="000F6B06" w:rsidRDefault="00202CBF" w:rsidP="00202CBF">
                  <w:pPr>
                    <w:jc w:val="center"/>
                    <w:rPr>
                      <w:b/>
                    </w:rPr>
                  </w:pPr>
                  <w:r w:rsidRPr="000F6B06">
                    <w:rPr>
                      <w:b/>
                    </w:rPr>
                    <w:t>Les piqûres d’abeilles</w:t>
                  </w:r>
                  <w:r w:rsidR="000F6B06">
                    <w:rPr>
                      <w:b/>
                    </w:rPr>
                    <w:t>,</w:t>
                  </w:r>
                  <w:r w:rsidRPr="000F6B06">
                    <w:rPr>
                      <w:b/>
                    </w:rPr>
                    <w:t xml:space="preserve"> leurs conséquences et la conduite à tenir</w:t>
                  </w:r>
                  <w:r w:rsidR="000F6B06">
                    <w:rPr>
                      <w:b/>
                    </w:rPr>
                    <w:t>.</w:t>
                  </w:r>
                </w:p>
              </w:txbxContent>
            </v:textbox>
          </v:shape>
        </w:pict>
      </w:r>
      <w:r>
        <w:rPr>
          <w:noProof/>
        </w:rPr>
        <w:pict>
          <v:shape id="_x0000_s1027" type="#_x0000_t202" style="position:absolute;left:0;text-align:left;margin-left:-14.7pt;margin-top:26.1pt;width:82.7pt;height:1in;z-index:251657216;mso-width-relative:margin;mso-height-relative:margin" filled="f" stroked="f">
            <v:textbox style="mso-next-textbox:#_x0000_s1027">
              <w:txbxContent>
                <w:p w:rsidR="00C8130A" w:rsidRDefault="00C8130A" w:rsidP="00C8130A">
                  <w:pPr>
                    <w:spacing w:line="240" w:lineRule="auto"/>
                    <w:jc w:val="center"/>
                    <w:rPr>
                      <w:b/>
                      <w:sz w:val="32"/>
                    </w:rPr>
                  </w:pPr>
                  <w:r w:rsidRPr="00C8130A">
                    <w:rPr>
                      <w:b/>
                      <w:sz w:val="32"/>
                    </w:rPr>
                    <w:t>Fiche pratique</w:t>
                  </w:r>
                </w:p>
                <w:p w:rsidR="00C8130A" w:rsidRDefault="00C8130A" w:rsidP="00C8130A">
                  <w:pPr>
                    <w:spacing w:line="240" w:lineRule="auto"/>
                    <w:jc w:val="center"/>
                    <w:rPr>
                      <w:b/>
                      <w:sz w:val="32"/>
                    </w:rPr>
                  </w:pPr>
                  <w:r>
                    <w:rPr>
                      <w:b/>
                      <w:sz w:val="32"/>
                    </w:rPr>
                    <w:t>N°</w:t>
                  </w:r>
                  <w:r w:rsidR="00202CBF">
                    <w:rPr>
                      <w:b/>
                      <w:sz w:val="32"/>
                    </w:rPr>
                    <w:t>03</w:t>
                  </w:r>
                </w:p>
                <w:p w:rsidR="00C8130A" w:rsidRDefault="00C8130A" w:rsidP="00C8130A">
                  <w:pPr>
                    <w:jc w:val="center"/>
                    <w:rPr>
                      <w:b/>
                      <w:sz w:val="32"/>
                    </w:rPr>
                  </w:pPr>
                </w:p>
                <w:p w:rsidR="00C8130A" w:rsidRDefault="00C8130A" w:rsidP="00C8130A">
                  <w:pPr>
                    <w:jc w:val="center"/>
                  </w:pPr>
                </w:p>
                <w:p w:rsidR="00C8130A" w:rsidRDefault="00C8130A"/>
              </w:txbxContent>
            </v:textbox>
          </v:shape>
        </w:pict>
      </w:r>
      <w:r w:rsidR="00FD63FE">
        <w:rPr>
          <w:noProof/>
          <w:lang w:eastAsia="fr-FR"/>
        </w:rPr>
        <w:drawing>
          <wp:inline distT="0" distB="0" distL="0" distR="0">
            <wp:extent cx="6722745" cy="1616710"/>
            <wp:effectExtent l="19050" t="0" r="1905" b="0"/>
            <wp:docPr id="1" name="Image 1" descr="fiche type-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e type-entete.jpg"/>
                    <pic:cNvPicPr>
                      <a:picLocks noChangeAspect="1" noChangeArrowheads="1"/>
                    </pic:cNvPicPr>
                  </pic:nvPicPr>
                  <pic:blipFill>
                    <a:blip r:embed="rId7" cstate="print"/>
                    <a:srcRect/>
                    <a:stretch>
                      <a:fillRect/>
                    </a:stretch>
                  </pic:blipFill>
                  <pic:spPr bwMode="auto">
                    <a:xfrm>
                      <a:off x="0" y="0"/>
                      <a:ext cx="6722745" cy="1616710"/>
                    </a:xfrm>
                    <a:prstGeom prst="rect">
                      <a:avLst/>
                    </a:prstGeom>
                    <a:noFill/>
                    <a:ln w="9525">
                      <a:noFill/>
                      <a:miter lim="800000"/>
                      <a:headEnd/>
                      <a:tailEnd/>
                    </a:ln>
                  </pic:spPr>
                </pic:pic>
              </a:graphicData>
            </a:graphic>
          </wp:inline>
        </w:drawing>
      </w:r>
    </w:p>
    <w:p w:rsidR="00202CBF" w:rsidRDefault="00202CBF" w:rsidP="009F7B59">
      <w:pPr>
        <w:tabs>
          <w:tab w:val="left" w:pos="426"/>
        </w:tabs>
      </w:pPr>
      <w:r>
        <w:t>La pratique de l’apiculture nous expose, plus que dans la population générale, au risque de piqûres d’abeilles avec des conséquences pouvant être très graves en cas d’allergie.</w:t>
      </w:r>
    </w:p>
    <w:p w:rsidR="00202CBF" w:rsidRDefault="00202CBF" w:rsidP="00202CBF">
      <w:r>
        <w:t>L’allergie est une réaction disproportionnée de notre organisme à une agression d’un agent extérieur déjà connu (c’est-à-dire que l’on ne fera pas de réaction allergique à la première piqûre).</w:t>
      </w:r>
    </w:p>
    <w:p w:rsidR="00202CBF" w:rsidRPr="00202CBF" w:rsidRDefault="00202CBF" w:rsidP="00202CBF">
      <w:pPr>
        <w:rPr>
          <w:b/>
          <w:sz w:val="36"/>
        </w:rPr>
      </w:pPr>
      <w:r w:rsidRPr="00202CBF">
        <w:rPr>
          <w:b/>
          <w:sz w:val="36"/>
        </w:rPr>
        <w:t>Les consignes générales :</w:t>
      </w:r>
    </w:p>
    <w:p w:rsidR="00202CBF" w:rsidRDefault="00202CBF" w:rsidP="00202CBF">
      <w:r>
        <w:t xml:space="preserve">        Ne jamais  s’occuper de ruches sans la tenue d’apiculteur complète.</w:t>
      </w:r>
    </w:p>
    <w:p w:rsidR="00202CBF" w:rsidRDefault="00202CBF" w:rsidP="00202CBF">
      <w:r>
        <w:t xml:space="preserve">        Ne jamais aller sur le rucher de Beeppy seul et sans avoir prévenu.</w:t>
      </w:r>
    </w:p>
    <w:p w:rsidR="00202CBF" w:rsidRDefault="00202CBF" w:rsidP="00202CBF">
      <w:r>
        <w:t xml:space="preserve">        Avoir son téléphone portable.</w:t>
      </w:r>
    </w:p>
    <w:p w:rsidR="00202CBF" w:rsidRPr="00202CBF" w:rsidRDefault="00202CBF" w:rsidP="00202CBF">
      <w:pPr>
        <w:rPr>
          <w:sz w:val="36"/>
        </w:rPr>
      </w:pPr>
      <w:r w:rsidRPr="00202CBF">
        <w:rPr>
          <w:b/>
          <w:sz w:val="36"/>
        </w:rPr>
        <w:t>Localisation</w:t>
      </w:r>
      <w:r w:rsidRPr="00202CBF">
        <w:rPr>
          <w:sz w:val="36"/>
        </w:rPr>
        <w:t> :</w:t>
      </w:r>
    </w:p>
    <w:p w:rsidR="00202CBF" w:rsidRDefault="00202CBF" w:rsidP="00202CBF">
      <w:r>
        <w:t xml:space="preserve">        Toute piqûre au- dessus des épaules est potentiellement plus grave (au niveau de la bouche avec œdème, près d’une veine du cou).</w:t>
      </w:r>
    </w:p>
    <w:p w:rsidR="00202CBF" w:rsidRPr="00202CBF" w:rsidRDefault="00202CBF" w:rsidP="00202CBF">
      <w:pPr>
        <w:rPr>
          <w:sz w:val="36"/>
        </w:rPr>
      </w:pPr>
      <w:r w:rsidRPr="00202CBF">
        <w:rPr>
          <w:b/>
          <w:sz w:val="36"/>
        </w:rPr>
        <w:t>En cas de piqûre</w:t>
      </w:r>
      <w:r w:rsidRPr="00202CBF">
        <w:rPr>
          <w:sz w:val="36"/>
        </w:rPr>
        <w:t> :</w:t>
      </w:r>
    </w:p>
    <w:p w:rsidR="00202CBF" w:rsidRDefault="00202CBF" w:rsidP="00202CBF">
      <w:r>
        <w:t xml:space="preserve">       Envoyer un nuage de fumée sur la région piquée.</w:t>
      </w:r>
    </w:p>
    <w:p w:rsidR="00202CBF" w:rsidRDefault="00202CBF" w:rsidP="00202CBF">
      <w:r>
        <w:t xml:space="preserve">       Enlever le dard sans presser, mais en grattant la peau avec un ongle, une lame de couteau.</w:t>
      </w:r>
    </w:p>
    <w:p w:rsidR="00202CBF" w:rsidRDefault="00202CBF" w:rsidP="00202CBF">
      <w:r>
        <w:t xml:space="preserve">       Enlever bagues, bracelets…en cas de piqûres aux mains.</w:t>
      </w:r>
    </w:p>
    <w:p w:rsidR="00202CBF" w:rsidRDefault="00202CBF" w:rsidP="009F7B59">
      <w:pPr>
        <w:ind w:left="426" w:right="-709" w:hanging="426"/>
      </w:pPr>
      <w:r>
        <w:t xml:space="preserve">       Eventuellement approcher le bout incandescent d’une cigarette sans se brûler. (</w:t>
      </w:r>
      <w:proofErr w:type="gramStart"/>
      <w:r>
        <w:t>le</w:t>
      </w:r>
      <w:proofErr w:type="gramEnd"/>
      <w:r>
        <w:t xml:space="preserve"> venin est </w:t>
      </w:r>
      <w:r w:rsidR="009F7B59">
        <w:t xml:space="preserve">             </w:t>
      </w:r>
      <w:proofErr w:type="spellStart"/>
      <w:r>
        <w:t>thermo-labile</w:t>
      </w:r>
      <w:proofErr w:type="spellEnd"/>
      <w:r>
        <w:t>).</w:t>
      </w:r>
    </w:p>
    <w:p w:rsidR="00202CBF" w:rsidRDefault="00202CBF" w:rsidP="00202CBF">
      <w:r>
        <w:t xml:space="preserve">       Désinfecter avec </w:t>
      </w:r>
      <w:proofErr w:type="spellStart"/>
      <w:r>
        <w:t>Biseptine</w:t>
      </w:r>
      <w:proofErr w:type="spellEnd"/>
      <w:r>
        <w:t>.</w:t>
      </w:r>
    </w:p>
    <w:p w:rsidR="00202CBF" w:rsidRPr="00202CBF" w:rsidRDefault="00202CBF" w:rsidP="00202CBF">
      <w:pPr>
        <w:rPr>
          <w:sz w:val="36"/>
        </w:rPr>
      </w:pPr>
      <w:r w:rsidRPr="00202CBF">
        <w:rPr>
          <w:b/>
          <w:sz w:val="36"/>
        </w:rPr>
        <w:t>Piqûres multiples</w:t>
      </w:r>
      <w:r w:rsidRPr="00202CBF">
        <w:rPr>
          <w:sz w:val="36"/>
        </w:rPr>
        <w:t> :</w:t>
      </w:r>
    </w:p>
    <w:p w:rsidR="00202CBF" w:rsidRDefault="00202CBF" w:rsidP="00202CBF">
      <w:r>
        <w:t xml:space="preserve">         En cas de piqûres multiples, appel au 18 ou au 15. </w:t>
      </w:r>
    </w:p>
    <w:p w:rsidR="00202CBF" w:rsidRPr="00202CBF" w:rsidRDefault="00202CBF" w:rsidP="00202CBF">
      <w:pPr>
        <w:rPr>
          <w:sz w:val="36"/>
        </w:rPr>
      </w:pPr>
      <w:r w:rsidRPr="00202CBF">
        <w:rPr>
          <w:b/>
          <w:sz w:val="36"/>
        </w:rPr>
        <w:t>Réactions </w:t>
      </w:r>
      <w:r w:rsidRPr="00202CBF">
        <w:rPr>
          <w:sz w:val="36"/>
        </w:rPr>
        <w:t>:</w:t>
      </w:r>
    </w:p>
    <w:p w:rsidR="00202CBF" w:rsidRDefault="00202CBF" w:rsidP="009F7B59">
      <w:pPr>
        <w:pStyle w:val="Paragraphedeliste"/>
        <w:numPr>
          <w:ilvl w:val="0"/>
          <w:numId w:val="4"/>
        </w:numPr>
      </w:pPr>
      <w:r w:rsidRPr="009F7B59">
        <w:rPr>
          <w:b/>
          <w:u w:val="single"/>
        </w:rPr>
        <w:t>Réaction normale</w:t>
      </w:r>
      <w:r>
        <w:t> : réaction toxique,  purement locale avec douleur  rougeur, gonflement et démangeaison locale. Cela peut durer 2 à 3 jours.</w:t>
      </w:r>
    </w:p>
    <w:p w:rsidR="00202CBF" w:rsidRDefault="00202CBF" w:rsidP="00202CBF"/>
    <w:p w:rsidR="00202CBF" w:rsidRDefault="00202CBF" w:rsidP="009F7B59">
      <w:pPr>
        <w:pStyle w:val="Paragraphedeliste"/>
        <w:numPr>
          <w:ilvl w:val="0"/>
          <w:numId w:val="4"/>
        </w:numPr>
      </w:pPr>
      <w:r w:rsidRPr="009F7B59">
        <w:rPr>
          <w:b/>
          <w:u w:val="single"/>
        </w:rPr>
        <w:lastRenderedPageBreak/>
        <w:t>Réactions allergiques</w:t>
      </w:r>
      <w:r>
        <w:t xml:space="preserve"> : </w:t>
      </w:r>
    </w:p>
    <w:p w:rsidR="00202CBF" w:rsidRDefault="00202CBF" w:rsidP="00202CBF">
      <w:pPr>
        <w:ind w:left="993" w:hanging="993"/>
      </w:pPr>
      <w:r>
        <w:t xml:space="preserve">                  - Urticaire généralisé avec ou sans œdème,  coloration rosée généralisée de la peau (aspect de coup de soleil)</w:t>
      </w:r>
    </w:p>
    <w:p w:rsidR="00202CBF" w:rsidRDefault="00202CBF" w:rsidP="00202CBF">
      <w:r>
        <w:t xml:space="preserve">                  - Œdème de la face, œdème des muqueuses et du pharynx ;</w:t>
      </w:r>
    </w:p>
    <w:p w:rsidR="00202CBF" w:rsidRDefault="00202CBF" w:rsidP="00202CBF">
      <w:r>
        <w:t xml:space="preserve">                  - Signes respiratoires avec respiration sifflante, toux (crise d’asthme) ;</w:t>
      </w:r>
    </w:p>
    <w:p w:rsidR="00202CBF" w:rsidRDefault="00202CBF" w:rsidP="00202CBF">
      <w:r>
        <w:t xml:space="preserve">                  - Signes digestifs avec nausées, vomissements, douleurs abdominales, diarrhées ;</w:t>
      </w:r>
    </w:p>
    <w:p w:rsidR="00202CBF" w:rsidRDefault="00202CBF" w:rsidP="00202CBF">
      <w:pPr>
        <w:ind w:left="993" w:hanging="993"/>
      </w:pPr>
      <w:r>
        <w:t xml:space="preserve">                  - Enfin, malaise général, pouls rapide, sueurs, lipothymie, perte de connaissance,  témoins d’un choc anaphylactique, engageant le pronostic vital.</w:t>
      </w:r>
    </w:p>
    <w:p w:rsidR="00202CBF" w:rsidRPr="009F7B59" w:rsidRDefault="00202CBF" w:rsidP="00202CBF">
      <w:pPr>
        <w:ind w:left="993" w:hanging="993"/>
        <w:rPr>
          <w:b/>
          <w:i/>
          <w:sz w:val="32"/>
          <w:u w:val="single"/>
        </w:rPr>
      </w:pPr>
      <w:r w:rsidRPr="009F7B59">
        <w:rPr>
          <w:b/>
          <w:i/>
          <w:sz w:val="24"/>
        </w:rPr>
        <w:t xml:space="preserve">                     </w:t>
      </w:r>
      <w:r w:rsidRPr="009F7B59">
        <w:rPr>
          <w:b/>
          <w:i/>
          <w:sz w:val="32"/>
          <w:u w:val="single"/>
        </w:rPr>
        <w:t>Toutes ces réactions imposent l’appel immédiat au 18 ou au 15 après avoir conditionné la victime couchée les jambes surélevées, et en PLS si perte de connaissance.</w:t>
      </w:r>
    </w:p>
    <w:p w:rsidR="00202CBF" w:rsidRDefault="00202CBF" w:rsidP="00202CBF">
      <w:r w:rsidRPr="00202CBF">
        <w:rPr>
          <w:b/>
          <w:sz w:val="36"/>
        </w:rPr>
        <w:t>Trousse d’urgence</w:t>
      </w:r>
      <w:r w:rsidRPr="00202CBF">
        <w:rPr>
          <w:sz w:val="36"/>
        </w:rPr>
        <w:t xml:space="preserve"> : </w:t>
      </w:r>
    </w:p>
    <w:p w:rsidR="00202CBF" w:rsidRDefault="00202CBF" w:rsidP="00202CBF">
      <w:r>
        <w:t xml:space="preserve">                      Une trousse d’urgence est dans un frigo dans le petit local à Beeppy. Elle contient :</w:t>
      </w:r>
    </w:p>
    <w:p w:rsidR="00202CBF" w:rsidRDefault="00202CBF" w:rsidP="00202CBF">
      <w:pPr>
        <w:pStyle w:val="Paragraphedeliste"/>
        <w:numPr>
          <w:ilvl w:val="0"/>
          <w:numId w:val="1"/>
        </w:numPr>
      </w:pPr>
      <w:proofErr w:type="spellStart"/>
      <w:r>
        <w:t>Biseptine</w:t>
      </w:r>
      <w:proofErr w:type="spellEnd"/>
      <w:r>
        <w:t>.</w:t>
      </w:r>
    </w:p>
    <w:p w:rsidR="00202CBF" w:rsidRDefault="00202CBF" w:rsidP="00202CBF">
      <w:pPr>
        <w:pStyle w:val="Paragraphedeliste"/>
        <w:numPr>
          <w:ilvl w:val="0"/>
          <w:numId w:val="1"/>
        </w:numPr>
      </w:pPr>
      <w:r>
        <w:t>Crème corticoïde.</w:t>
      </w:r>
    </w:p>
    <w:p w:rsidR="00202CBF" w:rsidRPr="009F7B59" w:rsidRDefault="009F7B59" w:rsidP="00202CBF">
      <w:pPr>
        <w:pStyle w:val="Paragraphedeliste"/>
        <w:numPr>
          <w:ilvl w:val="0"/>
          <w:numId w:val="1"/>
        </w:numPr>
        <w:rPr>
          <w:i/>
        </w:rPr>
      </w:pPr>
      <w:r w:rsidRPr="009F7B59">
        <w:rPr>
          <w:i/>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451.4pt;margin-top:4.5pt;width:7.15pt;height:60.35pt;z-index:251660288" strokeweight="2pt"/>
        </w:pict>
      </w:r>
      <w:r w:rsidR="000F6B06" w:rsidRPr="009F7B59">
        <w:rPr>
          <w:i/>
          <w:noProof/>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29.7pt;margin-top:4.5pt;width:7.15pt;height:54.15pt;z-index:251659264" strokeweight="2pt"/>
        </w:pict>
      </w:r>
      <w:r w:rsidR="00202CBF" w:rsidRPr="009F7B59">
        <w:rPr>
          <w:i/>
        </w:rPr>
        <w:t>Un antihistaminique per os (</w:t>
      </w:r>
      <w:proofErr w:type="spellStart"/>
      <w:r w:rsidR="00202CBF" w:rsidRPr="009F7B59">
        <w:rPr>
          <w:i/>
        </w:rPr>
        <w:t>Aerius</w:t>
      </w:r>
      <w:proofErr w:type="spellEnd"/>
      <w:r w:rsidR="00202CBF" w:rsidRPr="009F7B59">
        <w:rPr>
          <w:i/>
        </w:rPr>
        <w:t>)</w:t>
      </w:r>
    </w:p>
    <w:p w:rsidR="00202CBF" w:rsidRPr="009F7B59" w:rsidRDefault="00202CBF" w:rsidP="00202CBF">
      <w:pPr>
        <w:pStyle w:val="Paragraphedeliste"/>
        <w:numPr>
          <w:ilvl w:val="0"/>
          <w:numId w:val="1"/>
        </w:numPr>
        <w:rPr>
          <w:i/>
        </w:rPr>
      </w:pPr>
      <w:r w:rsidRPr="009F7B59">
        <w:rPr>
          <w:i/>
        </w:rPr>
        <w:t xml:space="preserve">Un </w:t>
      </w:r>
      <w:proofErr w:type="spellStart"/>
      <w:r w:rsidRPr="009F7B59">
        <w:rPr>
          <w:i/>
        </w:rPr>
        <w:t>corticoide</w:t>
      </w:r>
      <w:proofErr w:type="spellEnd"/>
      <w:r w:rsidRPr="009F7B59">
        <w:rPr>
          <w:i/>
        </w:rPr>
        <w:t xml:space="preserve"> per os </w:t>
      </w:r>
      <w:proofErr w:type="gramStart"/>
      <w:r w:rsidRPr="009F7B59">
        <w:rPr>
          <w:i/>
        </w:rPr>
        <w:t xml:space="preserve">( </w:t>
      </w:r>
      <w:proofErr w:type="spellStart"/>
      <w:r w:rsidRPr="009F7B59">
        <w:rPr>
          <w:i/>
        </w:rPr>
        <w:t>Célestène</w:t>
      </w:r>
      <w:proofErr w:type="spellEnd"/>
      <w:proofErr w:type="gramEnd"/>
      <w:r w:rsidRPr="009F7B59">
        <w:rPr>
          <w:i/>
        </w:rPr>
        <w:t>).</w:t>
      </w:r>
    </w:p>
    <w:p w:rsidR="00202CBF" w:rsidRPr="009F7B59" w:rsidRDefault="00202CBF" w:rsidP="00202CBF">
      <w:pPr>
        <w:pStyle w:val="Paragraphedeliste"/>
        <w:numPr>
          <w:ilvl w:val="0"/>
          <w:numId w:val="1"/>
        </w:numPr>
        <w:rPr>
          <w:i/>
        </w:rPr>
      </w:pPr>
      <w:r w:rsidRPr="009F7B59">
        <w:rPr>
          <w:i/>
        </w:rPr>
        <w:t xml:space="preserve">Un </w:t>
      </w:r>
      <w:proofErr w:type="spellStart"/>
      <w:r w:rsidRPr="009F7B59">
        <w:rPr>
          <w:i/>
        </w:rPr>
        <w:t>béthamimétique</w:t>
      </w:r>
      <w:proofErr w:type="spellEnd"/>
      <w:r w:rsidRPr="009F7B59">
        <w:rPr>
          <w:i/>
        </w:rPr>
        <w:t xml:space="preserve"> inhalé </w:t>
      </w:r>
      <w:proofErr w:type="gramStart"/>
      <w:r w:rsidRPr="009F7B59">
        <w:rPr>
          <w:i/>
        </w:rPr>
        <w:t xml:space="preserve">( </w:t>
      </w:r>
      <w:proofErr w:type="spellStart"/>
      <w:r w:rsidRPr="009F7B59">
        <w:rPr>
          <w:i/>
        </w:rPr>
        <w:t>Ventoline</w:t>
      </w:r>
      <w:proofErr w:type="spellEnd"/>
      <w:proofErr w:type="gramEnd"/>
      <w:r w:rsidRPr="009F7B59">
        <w:rPr>
          <w:i/>
        </w:rPr>
        <w:t>)</w:t>
      </w:r>
    </w:p>
    <w:p w:rsidR="00202CBF" w:rsidRPr="009F7B59" w:rsidRDefault="00202CBF" w:rsidP="00202CBF">
      <w:pPr>
        <w:pStyle w:val="Paragraphedeliste"/>
        <w:numPr>
          <w:ilvl w:val="0"/>
          <w:numId w:val="1"/>
        </w:numPr>
        <w:rPr>
          <w:i/>
        </w:rPr>
      </w:pPr>
      <w:r w:rsidRPr="009F7B59">
        <w:rPr>
          <w:i/>
        </w:rPr>
        <w:t xml:space="preserve">Et surtout de l’adrénaline </w:t>
      </w:r>
      <w:proofErr w:type="gramStart"/>
      <w:r w:rsidRPr="009F7B59">
        <w:rPr>
          <w:i/>
        </w:rPr>
        <w:t>( «</w:t>
      </w:r>
      <w:proofErr w:type="gramEnd"/>
      <w:r w:rsidRPr="009F7B59">
        <w:rPr>
          <w:i/>
        </w:rPr>
        <w:t> </w:t>
      </w:r>
      <w:proofErr w:type="spellStart"/>
      <w:r w:rsidRPr="009F7B59">
        <w:rPr>
          <w:i/>
        </w:rPr>
        <w:t>Anapen</w:t>
      </w:r>
      <w:proofErr w:type="spellEnd"/>
      <w:r w:rsidRPr="009F7B59">
        <w:rPr>
          <w:i/>
        </w:rPr>
        <w:t> » sous la forme d’un stylo- pompe à usage unique).</w:t>
      </w:r>
    </w:p>
    <w:p w:rsidR="00202CBF" w:rsidRPr="00202CBF" w:rsidRDefault="00202CBF" w:rsidP="00202CBF">
      <w:pPr>
        <w:ind w:left="851"/>
        <w:rPr>
          <w:u w:val="single"/>
        </w:rPr>
      </w:pPr>
      <w:r w:rsidRPr="00202CBF">
        <w:rPr>
          <w:b/>
          <w:sz w:val="24"/>
          <w:u w:val="single"/>
        </w:rPr>
        <w:t>Les quatre derniers médicaments ne doivent absolument pas être utilisés  sans l’avis du médecin régulateur</w:t>
      </w:r>
      <w:r w:rsidRPr="00202CBF">
        <w:rPr>
          <w:sz w:val="24"/>
          <w:u w:val="single"/>
        </w:rPr>
        <w:t xml:space="preserve">. </w:t>
      </w:r>
    </w:p>
    <w:p w:rsidR="000F6B06" w:rsidRDefault="00202CBF" w:rsidP="00202CBF">
      <w:pPr>
        <w:rPr>
          <w:sz w:val="36"/>
        </w:rPr>
      </w:pPr>
      <w:r w:rsidRPr="000F6B06">
        <w:rPr>
          <w:b/>
          <w:sz w:val="36"/>
        </w:rPr>
        <w:t>L’Appel</w:t>
      </w:r>
      <w:r w:rsidRPr="000F6B06">
        <w:rPr>
          <w:sz w:val="36"/>
        </w:rPr>
        <w:t xml:space="preserve"> :  </w:t>
      </w:r>
    </w:p>
    <w:p w:rsidR="000F6B06" w:rsidRDefault="00202CBF" w:rsidP="00202CBF">
      <w:pPr>
        <w:rPr>
          <w:sz w:val="32"/>
        </w:rPr>
      </w:pPr>
      <w:r w:rsidRPr="000F6B06">
        <w:rPr>
          <w:sz w:val="32"/>
          <w:u w:val="single"/>
        </w:rPr>
        <w:t xml:space="preserve"> </w:t>
      </w:r>
      <w:r w:rsidRPr="000F6B06">
        <w:rPr>
          <w:b/>
          <w:sz w:val="32"/>
          <w:u w:val="single"/>
        </w:rPr>
        <w:t>Ne pas hésiter à appeler le 18 ou le 15</w:t>
      </w:r>
      <w:r w:rsidRPr="000F6B06">
        <w:rPr>
          <w:sz w:val="32"/>
        </w:rPr>
        <w:t xml:space="preserve"> </w:t>
      </w:r>
    </w:p>
    <w:p w:rsidR="000F6B06" w:rsidRDefault="00202CBF" w:rsidP="000F6B06">
      <w:pPr>
        <w:numPr>
          <w:ilvl w:val="0"/>
          <w:numId w:val="3"/>
        </w:numPr>
      </w:pPr>
      <w:r>
        <w:t>en cas de piqûre</w:t>
      </w:r>
      <w:r w:rsidR="000F6B06">
        <w:t>,</w:t>
      </w:r>
    </w:p>
    <w:p w:rsidR="00202CBF" w:rsidRPr="000F6B06" w:rsidRDefault="00202CBF" w:rsidP="000F6B06">
      <w:pPr>
        <w:numPr>
          <w:ilvl w:val="0"/>
          <w:numId w:val="3"/>
        </w:numPr>
        <w:rPr>
          <w:sz w:val="36"/>
        </w:rPr>
      </w:pPr>
      <w:r>
        <w:t>en cas de signe local important et/ou de signes généraux tels que décrits précédemment.</w:t>
      </w:r>
    </w:p>
    <w:p w:rsidR="00202CBF" w:rsidRPr="000F6B06" w:rsidRDefault="00202CBF" w:rsidP="00202CBF">
      <w:pPr>
        <w:rPr>
          <w:u w:val="single"/>
        </w:rPr>
      </w:pPr>
      <w:r w:rsidRPr="000F6B06">
        <w:rPr>
          <w:u w:val="single"/>
        </w:rPr>
        <w:t xml:space="preserve">Après avoir décrit les symptômes (ce que vous voyez), et orienté par l’interrogatoire du médecin régulateur,  vous devrez bien expliquer les médicaments dont nous disposons dans notre trousse d’urgence. Ainsi, le médecin régulateur vous donnera les instructions adaptées à la situation en attendant si besoin l’intervention du Samu. </w:t>
      </w:r>
    </w:p>
    <w:p w:rsidR="00202CBF" w:rsidRDefault="00202CBF" w:rsidP="00202CBF">
      <w:r>
        <w:t xml:space="preserve"> L’utilisation du stylo-pompe d’adrénaline a fait l’objet de démonstrations au cours de nos réunions.</w:t>
      </w:r>
    </w:p>
    <w:p w:rsidR="00202CBF" w:rsidRDefault="00202CBF" w:rsidP="00202CBF">
      <w:r>
        <w:t xml:space="preserve">                                                                 Docteur Xavier </w:t>
      </w:r>
      <w:proofErr w:type="spellStart"/>
      <w:r>
        <w:t>Limouzin</w:t>
      </w:r>
      <w:proofErr w:type="spellEnd"/>
    </w:p>
    <w:p w:rsidR="00751852" w:rsidRPr="00202CBF" w:rsidRDefault="00751852" w:rsidP="00751852">
      <w:pPr>
        <w:jc w:val="center"/>
        <w:rPr>
          <w:b/>
          <w:sz w:val="36"/>
          <w:szCs w:val="36"/>
        </w:rPr>
      </w:pPr>
    </w:p>
    <w:p w:rsidR="001A0817" w:rsidRPr="00751852" w:rsidRDefault="00273FA1" w:rsidP="00751852">
      <w:pPr>
        <w:jc w:val="center"/>
        <w:rPr>
          <w:b/>
          <w:sz w:val="36"/>
          <w:szCs w:val="36"/>
        </w:rPr>
      </w:pPr>
      <w:r w:rsidRPr="00751852">
        <w:rPr>
          <w:b/>
          <w:sz w:val="36"/>
          <w:szCs w:val="36"/>
        </w:rPr>
        <w:lastRenderedPageBreak/>
        <w:t>Notes personnelles :</w:t>
      </w:r>
    </w:p>
    <w:sectPr w:rsidR="001A0817" w:rsidRPr="00751852" w:rsidSect="00C8130A">
      <w:footerReference w:type="default" r:id="rId8"/>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BF" w:rsidRDefault="001A7DBF" w:rsidP="00C8130A">
      <w:pPr>
        <w:spacing w:after="0" w:line="240" w:lineRule="auto"/>
      </w:pPr>
      <w:r>
        <w:separator/>
      </w:r>
    </w:p>
  </w:endnote>
  <w:endnote w:type="continuationSeparator" w:id="0">
    <w:p w:rsidR="001A7DBF" w:rsidRDefault="001A7DBF" w:rsidP="00C81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A1" w:rsidRDefault="00FE090C">
    <w:pPr>
      <w:pStyle w:val="Pieddepage"/>
      <w:jc w:val="right"/>
    </w:pPr>
    <w:fldSimple w:instr=" PAGE   \* MERGEFORMAT ">
      <w:r w:rsidR="009F7B59">
        <w:rPr>
          <w:noProof/>
        </w:rPr>
        <w:t>2</w:t>
      </w:r>
    </w:fldSimple>
  </w:p>
  <w:p w:rsidR="00273FA1" w:rsidRDefault="00273F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BF" w:rsidRDefault="001A7DBF" w:rsidP="00C8130A">
      <w:pPr>
        <w:spacing w:after="0" w:line="240" w:lineRule="auto"/>
      </w:pPr>
      <w:r>
        <w:separator/>
      </w:r>
    </w:p>
  </w:footnote>
  <w:footnote w:type="continuationSeparator" w:id="0">
    <w:p w:rsidR="001A7DBF" w:rsidRDefault="001A7DBF" w:rsidP="00C813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97"/>
    <w:multiLevelType w:val="hybridMultilevel"/>
    <w:tmpl w:val="5DCA6DE0"/>
    <w:lvl w:ilvl="0" w:tplc="599060D6">
      <w:numFmt w:val="bullet"/>
      <w:lvlText w:val="-"/>
      <w:lvlJc w:val="left"/>
      <w:pPr>
        <w:ind w:left="1211" w:hanging="360"/>
      </w:pPr>
      <w:rPr>
        <w:rFonts w:ascii="Calibri" w:eastAsiaTheme="minorHAnsi" w:hAnsi="Calibri" w:cstheme="minorBidi"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
    <w:nsid w:val="165C6D33"/>
    <w:multiLevelType w:val="hybridMultilevel"/>
    <w:tmpl w:val="6C94EB7C"/>
    <w:lvl w:ilvl="0" w:tplc="AF54C5E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0F674E"/>
    <w:multiLevelType w:val="hybridMultilevel"/>
    <w:tmpl w:val="488C95F2"/>
    <w:lvl w:ilvl="0" w:tplc="040C0001">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3">
    <w:nsid w:val="696B73F2"/>
    <w:multiLevelType w:val="hybridMultilevel"/>
    <w:tmpl w:val="A75AC580"/>
    <w:lvl w:ilvl="0" w:tplc="AF54C5E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8130A"/>
    <w:rsid w:val="000F6B06"/>
    <w:rsid w:val="00155E89"/>
    <w:rsid w:val="001A0817"/>
    <w:rsid w:val="001A7DBF"/>
    <w:rsid w:val="00202CBF"/>
    <w:rsid w:val="00273FA1"/>
    <w:rsid w:val="00315A73"/>
    <w:rsid w:val="00423B2B"/>
    <w:rsid w:val="005538C8"/>
    <w:rsid w:val="005748DE"/>
    <w:rsid w:val="00751852"/>
    <w:rsid w:val="00886D82"/>
    <w:rsid w:val="00903486"/>
    <w:rsid w:val="00930CCF"/>
    <w:rsid w:val="009F7B59"/>
    <w:rsid w:val="00A75221"/>
    <w:rsid w:val="00C8130A"/>
    <w:rsid w:val="00CE29AB"/>
    <w:rsid w:val="00D35BA6"/>
    <w:rsid w:val="00E81725"/>
    <w:rsid w:val="00F320C0"/>
    <w:rsid w:val="00FD63FE"/>
    <w:rsid w:val="00FE09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F"/>
    <w:pPr>
      <w:spacing w:after="200" w:line="276" w:lineRule="auto"/>
    </w:pPr>
    <w:rPr>
      <w:sz w:val="22"/>
      <w:szCs w:val="22"/>
      <w:lang w:eastAsia="en-US"/>
    </w:rPr>
  </w:style>
  <w:style w:type="paragraph" w:styleId="Titre3">
    <w:name w:val="heading 3"/>
    <w:basedOn w:val="Normal"/>
    <w:link w:val="Titre3Car"/>
    <w:uiPriority w:val="9"/>
    <w:qFormat/>
    <w:rsid w:val="00930CC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30CCF"/>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C813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30A"/>
    <w:rPr>
      <w:rFonts w:ascii="Tahoma" w:hAnsi="Tahoma" w:cs="Tahoma"/>
      <w:sz w:val="16"/>
      <w:szCs w:val="16"/>
    </w:rPr>
  </w:style>
  <w:style w:type="paragraph" w:styleId="En-tte">
    <w:name w:val="header"/>
    <w:basedOn w:val="Normal"/>
    <w:link w:val="En-tteCar"/>
    <w:uiPriority w:val="99"/>
    <w:unhideWhenUsed/>
    <w:rsid w:val="00C8130A"/>
    <w:pPr>
      <w:tabs>
        <w:tab w:val="center" w:pos="4536"/>
        <w:tab w:val="right" w:pos="9072"/>
      </w:tabs>
      <w:spacing w:after="0" w:line="240" w:lineRule="auto"/>
    </w:pPr>
  </w:style>
  <w:style w:type="character" w:customStyle="1" w:styleId="En-tteCar">
    <w:name w:val="En-tête Car"/>
    <w:basedOn w:val="Policepardfaut"/>
    <w:link w:val="En-tte"/>
    <w:uiPriority w:val="99"/>
    <w:rsid w:val="00C8130A"/>
  </w:style>
  <w:style w:type="paragraph" w:styleId="Pieddepage">
    <w:name w:val="footer"/>
    <w:basedOn w:val="Normal"/>
    <w:link w:val="PieddepageCar"/>
    <w:uiPriority w:val="99"/>
    <w:unhideWhenUsed/>
    <w:rsid w:val="00C81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30A"/>
  </w:style>
  <w:style w:type="character" w:styleId="Accentuation">
    <w:name w:val="Emphasis"/>
    <w:basedOn w:val="Policepardfaut"/>
    <w:uiPriority w:val="20"/>
    <w:qFormat/>
    <w:rsid w:val="00A75221"/>
    <w:rPr>
      <w:i/>
      <w:iCs/>
    </w:rPr>
  </w:style>
  <w:style w:type="paragraph" w:styleId="NormalWeb">
    <w:name w:val="Normal (Web)"/>
    <w:basedOn w:val="Normal"/>
    <w:uiPriority w:val="99"/>
    <w:semiHidden/>
    <w:unhideWhenUsed/>
    <w:rsid w:val="001A081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1A0817"/>
    <w:rPr>
      <w:b/>
      <w:bCs/>
    </w:rPr>
  </w:style>
  <w:style w:type="character" w:styleId="Lienhypertexte">
    <w:name w:val="Hyperlink"/>
    <w:basedOn w:val="Policepardfaut"/>
    <w:uiPriority w:val="99"/>
    <w:unhideWhenUsed/>
    <w:rsid w:val="00423B2B"/>
    <w:rPr>
      <w:color w:val="0000FF"/>
      <w:u w:val="single"/>
    </w:rPr>
  </w:style>
  <w:style w:type="character" w:styleId="Lienhypertextesuivivisit">
    <w:name w:val="FollowedHyperlink"/>
    <w:basedOn w:val="Policepardfaut"/>
    <w:uiPriority w:val="99"/>
    <w:semiHidden/>
    <w:unhideWhenUsed/>
    <w:rsid w:val="00423B2B"/>
    <w:rPr>
      <w:color w:val="800080"/>
      <w:u w:val="single"/>
    </w:rPr>
  </w:style>
  <w:style w:type="character" w:customStyle="1" w:styleId="apple-converted-space">
    <w:name w:val="apple-converted-space"/>
    <w:basedOn w:val="Policepardfaut"/>
    <w:rsid w:val="00F320C0"/>
  </w:style>
  <w:style w:type="character" w:customStyle="1" w:styleId="s1">
    <w:name w:val="s1"/>
    <w:basedOn w:val="Policepardfaut"/>
    <w:rsid w:val="00F320C0"/>
  </w:style>
  <w:style w:type="paragraph" w:styleId="Paragraphedeliste">
    <w:name w:val="List Paragraph"/>
    <w:basedOn w:val="Normal"/>
    <w:uiPriority w:val="34"/>
    <w:qFormat/>
    <w:rsid w:val="00202CBF"/>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07532985">
      <w:bodyDiv w:val="1"/>
      <w:marLeft w:val="0"/>
      <w:marRight w:val="0"/>
      <w:marTop w:val="0"/>
      <w:marBottom w:val="0"/>
      <w:divBdr>
        <w:top w:val="none" w:sz="0" w:space="0" w:color="auto"/>
        <w:left w:val="none" w:sz="0" w:space="0" w:color="auto"/>
        <w:bottom w:val="none" w:sz="0" w:space="0" w:color="auto"/>
        <w:right w:val="none" w:sz="0" w:space="0" w:color="auto"/>
      </w:divBdr>
    </w:div>
    <w:div w:id="540672705">
      <w:bodyDiv w:val="1"/>
      <w:marLeft w:val="0"/>
      <w:marRight w:val="0"/>
      <w:marTop w:val="0"/>
      <w:marBottom w:val="0"/>
      <w:divBdr>
        <w:top w:val="none" w:sz="0" w:space="0" w:color="auto"/>
        <w:left w:val="none" w:sz="0" w:space="0" w:color="auto"/>
        <w:bottom w:val="none" w:sz="0" w:space="0" w:color="auto"/>
        <w:right w:val="none" w:sz="0" w:space="0" w:color="auto"/>
      </w:divBdr>
    </w:div>
    <w:div w:id="1753164820">
      <w:bodyDiv w:val="1"/>
      <w:marLeft w:val="0"/>
      <w:marRight w:val="0"/>
      <w:marTop w:val="0"/>
      <w:marBottom w:val="0"/>
      <w:divBdr>
        <w:top w:val="none" w:sz="0" w:space="0" w:color="auto"/>
        <w:left w:val="none" w:sz="0" w:space="0" w:color="auto"/>
        <w:bottom w:val="none" w:sz="0" w:space="0" w:color="auto"/>
        <w:right w:val="none" w:sz="0" w:space="0" w:color="auto"/>
      </w:divBdr>
    </w:div>
    <w:div w:id="19233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510</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0000</cp:lastModifiedBy>
  <cp:revision>3</cp:revision>
  <dcterms:created xsi:type="dcterms:W3CDTF">2017-04-02T12:06:00Z</dcterms:created>
  <dcterms:modified xsi:type="dcterms:W3CDTF">2017-04-02T12:13:00Z</dcterms:modified>
</cp:coreProperties>
</file>